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ADFB" w14:textId="77777777" w:rsidR="005869FF" w:rsidRDefault="005869FF" w:rsidP="005869F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ESTUDO TÉCNICO PRELIMINAR (ETP) PARA CONTRATAÇÃO </w:t>
      </w:r>
    </w:p>
    <w:p w14:paraId="43D94F0C" w14:textId="77777777" w:rsidR="005869FF" w:rsidRDefault="005869FF" w:rsidP="005869FF">
      <w:pPr>
        <w:spacing w:after="0" w:line="360" w:lineRule="auto"/>
        <w:jc w:val="center"/>
        <w:rPr>
          <w:rFonts w:ascii="Arial" w:eastAsia="Arial" w:hAnsi="Arial" w:cs="Arial"/>
        </w:rPr>
      </w:pPr>
    </w:p>
    <w:p w14:paraId="02BA6989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Estudo Técnico Preliminar (ETP)</w:t>
      </w:r>
    </w:p>
    <w:p w14:paraId="446F6F02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1. Informações Básicas</w:t>
      </w:r>
    </w:p>
    <w:p w14:paraId="02026916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Processo Administrativo:</w:t>
      </w:r>
      <w:r w:rsidRPr="00F75070">
        <w:rPr>
          <w:rFonts w:ascii="Arial" w:eastAsia="Arial" w:hAnsi="Arial" w:cs="Arial"/>
        </w:rPr>
        <w:t xml:space="preserve"> 06/2025</w:t>
      </w:r>
    </w:p>
    <w:p w14:paraId="318634CE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Modalidade:</w:t>
      </w:r>
      <w:r w:rsidRPr="00F75070">
        <w:rPr>
          <w:rFonts w:ascii="Arial" w:eastAsia="Arial" w:hAnsi="Arial" w:cs="Arial"/>
        </w:rPr>
        <w:t xml:space="preserve"> Contratação direta por </w:t>
      </w:r>
      <w:r w:rsidRPr="00F75070">
        <w:rPr>
          <w:rFonts w:ascii="Arial" w:eastAsia="Arial" w:hAnsi="Arial" w:cs="Arial"/>
          <w:b/>
          <w:bCs/>
        </w:rPr>
        <w:t>inexigibilidade de licitação</w:t>
      </w:r>
    </w:p>
    <w:p w14:paraId="04A48514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Nº da Inexigibilidade:</w:t>
      </w:r>
      <w:r w:rsidRPr="00F75070">
        <w:rPr>
          <w:rFonts w:ascii="Arial" w:eastAsia="Arial" w:hAnsi="Arial" w:cs="Arial"/>
        </w:rPr>
        <w:t xml:space="preserve"> 03/2025</w:t>
      </w:r>
    </w:p>
    <w:p w14:paraId="36920A43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Unidade Requisitante:</w:t>
      </w:r>
      <w:r w:rsidRPr="00F75070">
        <w:rPr>
          <w:rFonts w:ascii="Arial" w:eastAsia="Arial" w:hAnsi="Arial" w:cs="Arial"/>
        </w:rPr>
        <w:t xml:space="preserve"> Câmara Municipal de Mercês </w:t>
      </w:r>
    </w:p>
    <w:p w14:paraId="1BA07672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Equipe de Planejamento/Elaboração do ETP:</w:t>
      </w:r>
      <w:r w:rsidRPr="00F750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Responsável que assina este.</w:t>
      </w:r>
    </w:p>
    <w:p w14:paraId="75ECBF8A" w14:textId="77777777" w:rsidR="005869FF" w:rsidRPr="00F75070" w:rsidRDefault="005869FF" w:rsidP="005869F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Objeto pretendido:</w:t>
      </w:r>
      <w:r w:rsidRPr="00F75070">
        <w:rPr>
          <w:rFonts w:ascii="Arial" w:eastAsia="Arial" w:hAnsi="Arial" w:cs="Arial"/>
        </w:rPr>
        <w:t xml:space="preserve"> Contratação da </w:t>
      </w:r>
      <w:r w:rsidRPr="00F75070">
        <w:rPr>
          <w:rFonts w:ascii="Arial" w:eastAsia="Arial" w:hAnsi="Arial" w:cs="Arial"/>
          <w:b/>
          <w:bCs/>
        </w:rPr>
        <w:t>Empresa Brasileira de Correios e Telégrafos – ECT</w:t>
      </w:r>
      <w:r w:rsidRPr="00F75070">
        <w:rPr>
          <w:rFonts w:ascii="Arial" w:eastAsia="Arial" w:hAnsi="Arial" w:cs="Arial"/>
        </w:rPr>
        <w:t xml:space="preserve"> para prestação de serviços postais, compreendendo, dentre outros, envio de cartas simples, cartas registradas, telegramas, avisos de recebimento (AR) e demais modalidades do portfólio da ECT, </w:t>
      </w:r>
      <w:r w:rsidRPr="00F75070">
        <w:rPr>
          <w:rFonts w:ascii="Arial" w:eastAsia="Arial" w:hAnsi="Arial" w:cs="Arial"/>
          <w:b/>
          <w:bCs/>
        </w:rPr>
        <w:t>conforme demanda</w:t>
      </w:r>
      <w:r w:rsidRPr="00F75070">
        <w:rPr>
          <w:rFonts w:ascii="Arial" w:eastAsia="Arial" w:hAnsi="Arial" w:cs="Arial"/>
        </w:rPr>
        <w:t xml:space="preserve">, pelo prazo estimado de </w:t>
      </w:r>
      <w:r w:rsidRPr="00F75070">
        <w:rPr>
          <w:rFonts w:ascii="Arial" w:eastAsia="Arial" w:hAnsi="Arial" w:cs="Arial"/>
          <w:b/>
          <w:bCs/>
        </w:rPr>
        <w:t>60 (sessenta) meses</w:t>
      </w:r>
      <w:r w:rsidRPr="00F75070">
        <w:rPr>
          <w:rFonts w:ascii="Arial" w:eastAsia="Arial" w:hAnsi="Arial" w:cs="Arial"/>
        </w:rPr>
        <w:t>.</w:t>
      </w:r>
    </w:p>
    <w:p w14:paraId="167CFFF4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2. Introdução</w:t>
      </w:r>
    </w:p>
    <w:p w14:paraId="5473FFFE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Este ETP caracteriza a necessidade institucional de serviços postais e examina a solução mais adequada para atendimento, fundamentando a contratação direta por inexigibilidade quando </w:t>
      </w:r>
      <w:r w:rsidRPr="00F75070">
        <w:rPr>
          <w:rFonts w:ascii="Arial" w:eastAsia="Arial" w:hAnsi="Arial" w:cs="Arial"/>
          <w:b/>
          <w:bCs/>
        </w:rPr>
        <w:t>inviável a competição</w:t>
      </w:r>
      <w:r w:rsidRPr="00F75070">
        <w:rPr>
          <w:rFonts w:ascii="Arial" w:eastAsia="Arial" w:hAnsi="Arial" w:cs="Arial"/>
        </w:rPr>
        <w:t xml:space="preserve"> (serviços postais monopolizados) e orientando o tratamento das </w:t>
      </w:r>
      <w:r w:rsidRPr="00F75070">
        <w:rPr>
          <w:rFonts w:ascii="Arial" w:eastAsia="Arial" w:hAnsi="Arial" w:cs="Arial"/>
          <w:b/>
          <w:bCs/>
        </w:rPr>
        <w:t>demais modalidades não monopolizadas</w:t>
      </w:r>
      <w:r w:rsidRPr="00F75070">
        <w:rPr>
          <w:rFonts w:ascii="Arial" w:eastAsia="Arial" w:hAnsi="Arial" w:cs="Arial"/>
        </w:rPr>
        <w:t xml:space="preserve"> (mercado concorrencial). O ETP servirá de base para o Termo de Referência e demais peças do processo.</w:t>
      </w:r>
    </w:p>
    <w:p w14:paraId="013090A3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3. Alinhamento com o Planejamento</w:t>
      </w:r>
    </w:p>
    <w:p w14:paraId="3F297D21" w14:textId="77777777" w:rsidR="005869FF" w:rsidRPr="00F75070" w:rsidRDefault="005869FF" w:rsidP="005869FF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Planejamento Estratégico/PDL Sustentável:</w:t>
      </w:r>
      <w:r w:rsidRPr="00F75070">
        <w:rPr>
          <w:rFonts w:ascii="Arial" w:eastAsia="Arial" w:hAnsi="Arial" w:cs="Arial"/>
        </w:rPr>
        <w:t xml:space="preserve"> A contratação garante a continuidade da comunicação administrativa e legislativa, essencial ao desempenho institucional.</w:t>
      </w:r>
    </w:p>
    <w:p w14:paraId="35B23282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4. Descrição da Necessidade</w:t>
      </w:r>
    </w:p>
    <w:p w14:paraId="10486A2A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A Câmara necessita postar e rastrear comunicações oficiais com cidadãos, órgãos públicos, empresas e autoridades (convocações, ofícios, notificações legais, AR, correspondências administrativas), inclusive com </w:t>
      </w:r>
      <w:r w:rsidRPr="00F75070">
        <w:rPr>
          <w:rFonts w:ascii="Arial" w:eastAsia="Arial" w:hAnsi="Arial" w:cs="Arial"/>
          <w:b/>
          <w:bCs/>
        </w:rPr>
        <w:t>comprovação de entrega</w:t>
      </w:r>
      <w:r w:rsidRPr="00F75070">
        <w:rPr>
          <w:rFonts w:ascii="Arial" w:eastAsia="Arial" w:hAnsi="Arial" w:cs="Arial"/>
        </w:rPr>
        <w:t xml:space="preserve"> e observância de prazos processuais. A demanda é </w:t>
      </w:r>
      <w:r w:rsidRPr="00F75070">
        <w:rPr>
          <w:rFonts w:ascii="Arial" w:eastAsia="Arial" w:hAnsi="Arial" w:cs="Arial"/>
          <w:b/>
          <w:bCs/>
        </w:rPr>
        <w:t>contínua, variável e por encomenda</w:t>
      </w:r>
      <w:r w:rsidRPr="00F75070">
        <w:rPr>
          <w:rFonts w:ascii="Arial" w:eastAsia="Arial" w:hAnsi="Arial" w:cs="Arial"/>
        </w:rPr>
        <w:t>.</w:t>
      </w:r>
    </w:p>
    <w:p w14:paraId="451D84EE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5. Motivação da Contratação</w:t>
      </w:r>
    </w:p>
    <w:p w14:paraId="188176BB" w14:textId="77777777" w:rsidR="005869FF" w:rsidRPr="00F75070" w:rsidRDefault="005869FF" w:rsidP="005869FF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Continuidade do serviço público:</w:t>
      </w:r>
      <w:r w:rsidRPr="00F75070">
        <w:rPr>
          <w:rFonts w:ascii="Arial" w:eastAsia="Arial" w:hAnsi="Arial" w:cs="Arial"/>
        </w:rPr>
        <w:t xml:space="preserve"> manutenção de canais formais de comunicação, com fé pública e comprovação de entrega (AR).</w:t>
      </w:r>
    </w:p>
    <w:p w14:paraId="39B4965C" w14:textId="77777777" w:rsidR="005869FF" w:rsidRPr="00F75070" w:rsidRDefault="005869FF" w:rsidP="005869FF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lastRenderedPageBreak/>
        <w:t>Conformidade normativa:</w:t>
      </w:r>
      <w:r w:rsidRPr="00F75070">
        <w:rPr>
          <w:rFonts w:ascii="Arial" w:eastAsia="Arial" w:hAnsi="Arial" w:cs="Arial"/>
        </w:rPr>
        <w:t xml:space="preserve"> parte dos serviços postais integra o serviço postal universal, cuja execução é de competência federal e prestação exclusiva da ECT (cartas, cartões-postais, telegramas e serviços acessórios como AR).</w:t>
      </w:r>
    </w:p>
    <w:p w14:paraId="5FF92AA0" w14:textId="77777777" w:rsidR="005869FF" w:rsidRPr="00F75070" w:rsidRDefault="005869FF" w:rsidP="005869FF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Eficiência e economicidade:</w:t>
      </w:r>
      <w:r w:rsidRPr="00F75070">
        <w:rPr>
          <w:rFonts w:ascii="Arial" w:eastAsia="Arial" w:hAnsi="Arial" w:cs="Arial"/>
        </w:rPr>
        <w:t xml:space="preserve"> contratação </w:t>
      </w:r>
      <w:r w:rsidRPr="00F75070">
        <w:rPr>
          <w:rFonts w:ascii="Arial" w:eastAsia="Arial" w:hAnsi="Arial" w:cs="Arial"/>
          <w:b/>
          <w:bCs/>
        </w:rPr>
        <w:t>sob demanda</w:t>
      </w:r>
      <w:r w:rsidRPr="00F75070">
        <w:rPr>
          <w:rFonts w:ascii="Arial" w:eastAsia="Arial" w:hAnsi="Arial" w:cs="Arial"/>
        </w:rPr>
        <w:t xml:space="preserve"> (</w:t>
      </w:r>
      <w:proofErr w:type="spellStart"/>
      <w:r w:rsidRPr="00F75070">
        <w:rPr>
          <w:rFonts w:ascii="Arial" w:eastAsia="Arial" w:hAnsi="Arial" w:cs="Arial"/>
        </w:rPr>
        <w:t>pay</w:t>
      </w:r>
      <w:proofErr w:type="spellEnd"/>
      <w:r w:rsidRPr="00F75070">
        <w:rPr>
          <w:rFonts w:ascii="Arial" w:eastAsia="Arial" w:hAnsi="Arial" w:cs="Arial"/>
        </w:rPr>
        <w:t xml:space="preserve">-per-use), evitando estoques e pagamentos mínimos garantidos; aproveitamento de </w:t>
      </w:r>
      <w:r w:rsidRPr="00F75070">
        <w:rPr>
          <w:rFonts w:ascii="Arial" w:eastAsia="Arial" w:hAnsi="Arial" w:cs="Arial"/>
          <w:b/>
          <w:bCs/>
        </w:rPr>
        <w:t>tabelas públicas de tarifas</w:t>
      </w:r>
      <w:r w:rsidRPr="00F75070">
        <w:rPr>
          <w:rFonts w:ascii="Arial" w:eastAsia="Arial" w:hAnsi="Arial" w:cs="Arial"/>
        </w:rPr>
        <w:t xml:space="preserve"> e condições padronizadas.</w:t>
      </w:r>
    </w:p>
    <w:p w14:paraId="74E528D8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6. Requisitos da Contratação</w:t>
      </w:r>
    </w:p>
    <w:p w14:paraId="165CD5D1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6.1. Requisitos funcionais</w:t>
      </w:r>
    </w:p>
    <w:p w14:paraId="02836369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Postagem de </w:t>
      </w:r>
      <w:r w:rsidRPr="00F75070">
        <w:rPr>
          <w:rFonts w:ascii="Arial" w:eastAsia="Arial" w:hAnsi="Arial" w:cs="Arial"/>
          <w:b/>
          <w:bCs/>
        </w:rPr>
        <w:t>cartas simples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cartas registradas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telegramas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AR</w:t>
      </w:r>
      <w:r w:rsidRPr="00F75070">
        <w:rPr>
          <w:rFonts w:ascii="Arial" w:eastAsia="Arial" w:hAnsi="Arial" w:cs="Arial"/>
        </w:rPr>
        <w:t xml:space="preserve"> e serviços acessórios;</w:t>
      </w:r>
    </w:p>
    <w:p w14:paraId="05895444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Emissão de comprovantes e relatórios de rastreamento/entrega;</w:t>
      </w:r>
    </w:p>
    <w:p w14:paraId="00727320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Atendimento local via agência credenciada/central ECT e acesso a ferramentas digitais (SARA/Minhas Mensagens/ID Correios ou equivalente);</w:t>
      </w:r>
    </w:p>
    <w:p w14:paraId="41B7427F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Prestação </w:t>
      </w:r>
      <w:r w:rsidRPr="00F75070">
        <w:rPr>
          <w:rFonts w:ascii="Arial" w:eastAsia="Arial" w:hAnsi="Arial" w:cs="Arial"/>
          <w:b/>
          <w:bCs/>
        </w:rPr>
        <w:t>sob demanda</w:t>
      </w:r>
      <w:r w:rsidRPr="00F75070">
        <w:rPr>
          <w:rFonts w:ascii="Arial" w:eastAsia="Arial" w:hAnsi="Arial" w:cs="Arial"/>
        </w:rPr>
        <w:t>, sem quantitativos mínimos obrigatórios;</w:t>
      </w:r>
    </w:p>
    <w:p w14:paraId="2E7ECF58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Atendimento em dias úteis, com prazos de coleta/postagem compatíveis com o funcionamento da Câmara;</w:t>
      </w:r>
    </w:p>
    <w:p w14:paraId="51E52CC6" w14:textId="77777777" w:rsidR="005869FF" w:rsidRPr="00F75070" w:rsidRDefault="005869FF" w:rsidP="005869FF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Suporte à gestão (relatórios mensais por centro de custo/unidade).</w:t>
      </w:r>
    </w:p>
    <w:p w14:paraId="5FF37E8C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6.2. Requisitos de desempenho e níveis de serviço (SLA)</w:t>
      </w:r>
    </w:p>
    <w:p w14:paraId="1B4A99CD" w14:textId="77777777" w:rsidR="005869FF" w:rsidRPr="00F75070" w:rsidRDefault="005869FF" w:rsidP="005869FF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Prazos de transporte e entrega conforme </w:t>
      </w:r>
      <w:r w:rsidRPr="00F75070">
        <w:rPr>
          <w:rFonts w:ascii="Arial" w:eastAsia="Arial" w:hAnsi="Arial" w:cs="Arial"/>
          <w:b/>
          <w:bCs/>
        </w:rPr>
        <w:t>tabelas vigentes</w:t>
      </w:r>
      <w:r w:rsidRPr="00F75070">
        <w:rPr>
          <w:rFonts w:ascii="Arial" w:eastAsia="Arial" w:hAnsi="Arial" w:cs="Arial"/>
        </w:rPr>
        <w:t xml:space="preserve"> da ECT para cada modalidade;</w:t>
      </w:r>
    </w:p>
    <w:p w14:paraId="17FB1841" w14:textId="77777777" w:rsidR="005869FF" w:rsidRPr="00F75070" w:rsidRDefault="005869FF" w:rsidP="005869FF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Índice de entregas dentro do prazo</w:t>
      </w:r>
      <w:r>
        <w:rPr>
          <w:rFonts w:ascii="Arial" w:eastAsia="Arial" w:hAnsi="Arial" w:cs="Arial"/>
        </w:rPr>
        <w:t>.</w:t>
      </w:r>
    </w:p>
    <w:p w14:paraId="16DE33BB" w14:textId="77777777" w:rsidR="005869FF" w:rsidRPr="00F75070" w:rsidRDefault="005869FF" w:rsidP="005869FF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Disponibilidade dos sistemas on-line</w:t>
      </w:r>
      <w:r>
        <w:rPr>
          <w:rFonts w:ascii="Arial" w:eastAsia="Arial" w:hAnsi="Arial" w:cs="Arial"/>
        </w:rPr>
        <w:t>.</w:t>
      </w:r>
    </w:p>
    <w:p w14:paraId="657356A9" w14:textId="77777777" w:rsidR="005869FF" w:rsidRPr="00F75070" w:rsidRDefault="005869FF" w:rsidP="005869FF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Tratamento de ocorrências (extravio, atraso, devolução</w:t>
      </w:r>
      <w:r>
        <w:rPr>
          <w:rFonts w:ascii="Arial" w:eastAsia="Arial" w:hAnsi="Arial" w:cs="Arial"/>
        </w:rPr>
        <w:t>).</w:t>
      </w:r>
    </w:p>
    <w:p w14:paraId="14D08769" w14:textId="77777777" w:rsidR="005869FF" w:rsidRPr="00F75070" w:rsidRDefault="005869FF" w:rsidP="005869FF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Atendimento a </w:t>
      </w:r>
      <w:r w:rsidRPr="00F75070">
        <w:rPr>
          <w:rFonts w:ascii="Arial" w:eastAsia="Arial" w:hAnsi="Arial" w:cs="Arial"/>
          <w:b/>
          <w:bCs/>
        </w:rPr>
        <w:t>notificações legais</w:t>
      </w:r>
      <w:r w:rsidRPr="00F75070">
        <w:rPr>
          <w:rFonts w:ascii="Arial" w:eastAsia="Arial" w:hAnsi="Arial" w:cs="Arial"/>
        </w:rPr>
        <w:t xml:space="preserve"> e sigilo da correspondência.</w:t>
      </w:r>
    </w:p>
    <w:p w14:paraId="1EE77DD8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6.3. Requisitos de sustentabilidade (quando aplicável)</w:t>
      </w:r>
    </w:p>
    <w:p w14:paraId="31D391E0" w14:textId="77777777" w:rsidR="005869FF" w:rsidRPr="00F75070" w:rsidRDefault="005869FF" w:rsidP="005869FF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Utilização de materiais recicláveis nas embalagens e logística reversa de insumos;</w:t>
      </w:r>
    </w:p>
    <w:p w14:paraId="1C900004" w14:textId="77777777" w:rsidR="005869FF" w:rsidRPr="00F75070" w:rsidRDefault="005869FF" w:rsidP="005869FF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Preferência por postagem consolidada (quando possível) para reduzir deslocamentos e emissões.</w:t>
      </w:r>
    </w:p>
    <w:p w14:paraId="5B5D516C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7. Levantamento de Mercado e Análise de Alternativas</w:t>
      </w:r>
    </w:p>
    <w:p w14:paraId="26099060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7.1. Segmento monopolizado (inexigibilidade)</w:t>
      </w:r>
    </w:p>
    <w:p w14:paraId="57F47B2E" w14:textId="77777777" w:rsidR="005869FF" w:rsidRPr="00F75070" w:rsidRDefault="005869FF" w:rsidP="005869FF">
      <w:pPr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Serviços do </w:t>
      </w:r>
      <w:r w:rsidRPr="00F75070">
        <w:rPr>
          <w:rFonts w:ascii="Arial" w:eastAsia="Arial" w:hAnsi="Arial" w:cs="Arial"/>
          <w:b/>
          <w:bCs/>
        </w:rPr>
        <w:t>monopólio postal</w:t>
      </w:r>
      <w:r w:rsidRPr="00F75070">
        <w:rPr>
          <w:rFonts w:ascii="Arial" w:eastAsia="Arial" w:hAnsi="Arial" w:cs="Arial"/>
        </w:rPr>
        <w:t xml:space="preserve"> (cartas simples, registradas, telegramas, AR e acessórios correlatos) – inviabilidade de competição. </w:t>
      </w:r>
      <w:r w:rsidRPr="00F75070">
        <w:rPr>
          <w:rFonts w:ascii="Arial" w:eastAsia="Arial" w:hAnsi="Arial" w:cs="Arial"/>
          <w:b/>
          <w:bCs/>
        </w:rPr>
        <w:t>Solução proposta:</w:t>
      </w:r>
      <w:r w:rsidRPr="00F75070">
        <w:rPr>
          <w:rFonts w:ascii="Arial" w:eastAsia="Arial" w:hAnsi="Arial" w:cs="Arial"/>
        </w:rPr>
        <w:t xml:space="preserve"> contratação direta da ECT, por inexigibilidade.</w:t>
      </w:r>
    </w:p>
    <w:p w14:paraId="5926786A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7.</w:t>
      </w:r>
      <w:r>
        <w:rPr>
          <w:rFonts w:ascii="Arial" w:eastAsia="Arial" w:hAnsi="Arial" w:cs="Arial"/>
          <w:b/>
          <w:bCs/>
        </w:rPr>
        <w:t>2</w:t>
      </w:r>
      <w:r w:rsidRPr="00F75070">
        <w:rPr>
          <w:rFonts w:ascii="Arial" w:eastAsia="Arial" w:hAnsi="Arial" w:cs="Arial"/>
          <w:b/>
          <w:bCs/>
        </w:rPr>
        <w:t>. Conclusão</w:t>
      </w:r>
    </w:p>
    <w:p w14:paraId="33E65925" w14:textId="77777777" w:rsidR="005869FF" w:rsidRPr="00F75070" w:rsidRDefault="005869FF" w:rsidP="005869FF">
      <w:pPr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lastRenderedPageBreak/>
        <w:t>Delimitar o escopo da inexigibilidade</w:t>
      </w:r>
      <w:r w:rsidRPr="00F75070">
        <w:rPr>
          <w:rFonts w:ascii="Arial" w:eastAsia="Arial" w:hAnsi="Arial" w:cs="Arial"/>
        </w:rPr>
        <w:t xml:space="preserve"> aos serviços efetivamente monopolizados e </w:t>
      </w:r>
      <w:r w:rsidRPr="00F75070">
        <w:rPr>
          <w:rFonts w:ascii="Arial" w:eastAsia="Arial" w:hAnsi="Arial" w:cs="Arial"/>
          <w:b/>
          <w:bCs/>
        </w:rPr>
        <w:t>segregar</w:t>
      </w:r>
      <w:r w:rsidRPr="00F75070">
        <w:rPr>
          <w:rFonts w:ascii="Arial" w:eastAsia="Arial" w:hAnsi="Arial" w:cs="Arial"/>
        </w:rPr>
        <w:t xml:space="preserve"> as modalidades concorrenciais para contratação por licitação, mitigando risco jurídico e assegurando a vantajosidade.</w:t>
      </w:r>
    </w:p>
    <w:p w14:paraId="26F6A3BB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8. Descrição da Solução Proposta</w:t>
      </w:r>
    </w:p>
    <w:p w14:paraId="5EF3F4C1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Solução A – Inexigibilidade (ECT):</w:t>
      </w:r>
      <w:r w:rsidRPr="00F75070">
        <w:rPr>
          <w:rFonts w:ascii="Arial" w:eastAsia="Arial" w:hAnsi="Arial" w:cs="Arial"/>
        </w:rPr>
        <w:t xml:space="preserve"> firmar </w:t>
      </w:r>
      <w:r w:rsidRPr="00F75070">
        <w:rPr>
          <w:rFonts w:ascii="Arial" w:eastAsia="Arial" w:hAnsi="Arial" w:cs="Arial"/>
          <w:b/>
          <w:bCs/>
        </w:rPr>
        <w:t>contrato sob demanda</w:t>
      </w:r>
      <w:r w:rsidRPr="00F75070">
        <w:rPr>
          <w:rFonts w:ascii="Arial" w:eastAsia="Arial" w:hAnsi="Arial" w:cs="Arial"/>
        </w:rPr>
        <w:t xml:space="preserve"> para serviços postais monopolizados, com vigência estimada de </w:t>
      </w:r>
      <w:r w:rsidRPr="00F75070">
        <w:rPr>
          <w:rFonts w:ascii="Arial" w:eastAsia="Arial" w:hAnsi="Arial" w:cs="Arial"/>
          <w:b/>
          <w:bCs/>
        </w:rPr>
        <w:t>60 meses</w:t>
      </w:r>
      <w:r w:rsidRPr="00F75070">
        <w:rPr>
          <w:rFonts w:ascii="Arial" w:eastAsia="Arial" w:hAnsi="Arial" w:cs="Arial"/>
        </w:rPr>
        <w:t>, prevendo:</w:t>
      </w:r>
    </w:p>
    <w:p w14:paraId="50017651" w14:textId="77777777" w:rsidR="005869FF" w:rsidRPr="00F75070" w:rsidRDefault="005869FF" w:rsidP="005869FF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atendimento nas modalidades </w:t>
      </w:r>
      <w:r w:rsidRPr="00F75070">
        <w:rPr>
          <w:rFonts w:ascii="Arial" w:eastAsia="Arial" w:hAnsi="Arial" w:cs="Arial"/>
          <w:b/>
          <w:bCs/>
        </w:rPr>
        <w:t>carta simples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carta registrada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telegrama</w:t>
      </w:r>
      <w:r w:rsidRPr="00F75070">
        <w:rPr>
          <w:rFonts w:ascii="Arial" w:eastAsia="Arial" w:hAnsi="Arial" w:cs="Arial"/>
        </w:rPr>
        <w:t xml:space="preserve">, </w:t>
      </w:r>
      <w:r w:rsidRPr="00F75070">
        <w:rPr>
          <w:rFonts w:ascii="Arial" w:eastAsia="Arial" w:hAnsi="Arial" w:cs="Arial"/>
          <w:b/>
          <w:bCs/>
        </w:rPr>
        <w:t>AR</w:t>
      </w:r>
      <w:r w:rsidRPr="00F75070">
        <w:rPr>
          <w:rFonts w:ascii="Arial" w:eastAsia="Arial" w:hAnsi="Arial" w:cs="Arial"/>
        </w:rPr>
        <w:t xml:space="preserve"> e serviços acessórios (mão de obra e meios necessários pela ECT);</w:t>
      </w:r>
    </w:p>
    <w:p w14:paraId="6324D1F9" w14:textId="77777777" w:rsidR="005869FF" w:rsidRPr="00F75070" w:rsidRDefault="005869FF" w:rsidP="005869FF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faturamento mensal </w:t>
      </w:r>
      <w:r w:rsidRPr="00F75070">
        <w:rPr>
          <w:rFonts w:ascii="Arial" w:eastAsia="Arial" w:hAnsi="Arial" w:cs="Arial"/>
          <w:b/>
          <w:bCs/>
        </w:rPr>
        <w:t>por consumo efetivo</w:t>
      </w:r>
      <w:r w:rsidRPr="00F75070">
        <w:rPr>
          <w:rFonts w:ascii="Arial" w:eastAsia="Arial" w:hAnsi="Arial" w:cs="Arial"/>
        </w:rPr>
        <w:t>, com relatórios detalhados;</w:t>
      </w:r>
    </w:p>
    <w:p w14:paraId="1698216A" w14:textId="77777777" w:rsidR="005869FF" w:rsidRPr="00F75070" w:rsidRDefault="005869FF" w:rsidP="005869FF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gestão por fiscal técnico e gestor do contrato;</w:t>
      </w:r>
    </w:p>
    <w:p w14:paraId="65469ED2" w14:textId="77777777" w:rsidR="005869FF" w:rsidRPr="00F75070" w:rsidRDefault="005869FF" w:rsidP="005869FF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cláusulas de SLA e tratamento de ocorrências;</w:t>
      </w:r>
    </w:p>
    <w:p w14:paraId="6147CAC9" w14:textId="77777777" w:rsidR="005869FF" w:rsidRPr="00F75070" w:rsidRDefault="005869FF" w:rsidP="005869FF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possibilidade de </w:t>
      </w:r>
      <w:r w:rsidRPr="00F75070">
        <w:rPr>
          <w:rFonts w:ascii="Arial" w:eastAsia="Arial" w:hAnsi="Arial" w:cs="Arial"/>
          <w:b/>
          <w:bCs/>
        </w:rPr>
        <w:t>treinamento/orientação</w:t>
      </w:r>
      <w:r w:rsidRPr="00F75070">
        <w:rPr>
          <w:rFonts w:ascii="Arial" w:eastAsia="Arial" w:hAnsi="Arial" w:cs="Arial"/>
        </w:rPr>
        <w:t xml:space="preserve"> aos usuários internos para correta classificação e endereçamento.</w:t>
      </w:r>
    </w:p>
    <w:p w14:paraId="1A3B5B76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Solução B – Licitação (quando necessário):</w:t>
      </w:r>
      <w:r w:rsidRPr="00F75070">
        <w:rPr>
          <w:rFonts w:ascii="Arial" w:eastAsia="Arial" w:hAnsi="Arial" w:cs="Arial"/>
        </w:rPr>
        <w:t xml:space="preserve"> para </w:t>
      </w:r>
      <w:r w:rsidRPr="00F75070">
        <w:rPr>
          <w:rFonts w:ascii="Arial" w:eastAsia="Arial" w:hAnsi="Arial" w:cs="Arial"/>
          <w:b/>
          <w:bCs/>
        </w:rPr>
        <w:t>encomendas/</w:t>
      </w:r>
      <w:proofErr w:type="spellStart"/>
      <w:r w:rsidRPr="00F75070">
        <w:rPr>
          <w:rFonts w:ascii="Arial" w:eastAsia="Arial" w:hAnsi="Arial" w:cs="Arial"/>
          <w:b/>
          <w:bCs/>
        </w:rPr>
        <w:t>express</w:t>
      </w:r>
      <w:proofErr w:type="spellEnd"/>
      <w:r w:rsidRPr="00F75070">
        <w:rPr>
          <w:rFonts w:ascii="Arial" w:eastAsia="Arial" w:hAnsi="Arial" w:cs="Arial"/>
        </w:rPr>
        <w:t xml:space="preserve"> e outras modalidades </w:t>
      </w:r>
      <w:r w:rsidRPr="00F75070">
        <w:rPr>
          <w:rFonts w:ascii="Arial" w:eastAsia="Arial" w:hAnsi="Arial" w:cs="Arial"/>
          <w:b/>
          <w:bCs/>
        </w:rPr>
        <w:t>não exclusivas</w:t>
      </w:r>
      <w:r w:rsidRPr="00F75070">
        <w:rPr>
          <w:rFonts w:ascii="Arial" w:eastAsia="Arial" w:hAnsi="Arial" w:cs="Arial"/>
        </w:rPr>
        <w:t>, elaborar processo licitatório próprio (TR/edital), com avaliação de mercado, matriz de riscos, definição de prazos e SLA.</w:t>
      </w:r>
    </w:p>
    <w:p w14:paraId="72307A8E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10. Estimativa de Valores</w:t>
      </w:r>
    </w:p>
    <w:p w14:paraId="48DA9EBC" w14:textId="77777777" w:rsidR="005869FF" w:rsidRPr="00F75070" w:rsidRDefault="005869FF" w:rsidP="005869FF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Fonte de preços:</w:t>
      </w:r>
      <w:r w:rsidRPr="00F75070">
        <w:rPr>
          <w:rFonts w:ascii="Arial" w:eastAsia="Arial" w:hAnsi="Arial" w:cs="Arial"/>
        </w:rPr>
        <w:t xml:space="preserve"> </w:t>
      </w:r>
      <w:r w:rsidRPr="00F75070">
        <w:rPr>
          <w:rFonts w:ascii="Arial" w:eastAsia="Arial" w:hAnsi="Arial" w:cs="Arial"/>
          <w:b/>
          <w:bCs/>
        </w:rPr>
        <w:t>tabelas públicas de tarifas</w:t>
      </w:r>
      <w:r w:rsidRPr="00F75070">
        <w:rPr>
          <w:rFonts w:ascii="Arial" w:eastAsia="Arial" w:hAnsi="Arial" w:cs="Arial"/>
        </w:rPr>
        <w:t xml:space="preserve"> da ECT (vigentes) para cada modalidade e, quando cabível, </w:t>
      </w:r>
      <w:r w:rsidRPr="00F75070">
        <w:rPr>
          <w:rFonts w:ascii="Arial" w:eastAsia="Arial" w:hAnsi="Arial" w:cs="Arial"/>
          <w:b/>
          <w:bCs/>
        </w:rPr>
        <w:t>notas fiscais</w:t>
      </w:r>
      <w:r w:rsidRPr="00F75070">
        <w:rPr>
          <w:rFonts w:ascii="Arial" w:eastAsia="Arial" w:hAnsi="Arial" w:cs="Arial"/>
        </w:rPr>
        <w:t xml:space="preserve"> de contratos similares com outros entes </w:t>
      </w:r>
      <w:r w:rsidRPr="00F75070">
        <w:rPr>
          <w:rFonts w:ascii="Arial" w:eastAsia="Arial" w:hAnsi="Arial" w:cs="Arial"/>
          <w:b/>
          <w:bCs/>
        </w:rPr>
        <w:t>emitidas nos últimos 12 meses</w:t>
      </w:r>
      <w:r w:rsidRPr="00F75070">
        <w:rPr>
          <w:rFonts w:ascii="Arial" w:eastAsia="Arial" w:hAnsi="Arial" w:cs="Arial"/>
        </w:rPr>
        <w:t>;</w:t>
      </w:r>
    </w:p>
    <w:p w14:paraId="06086399" w14:textId="77777777" w:rsidR="005869FF" w:rsidRPr="00F75070" w:rsidRDefault="005869FF" w:rsidP="005869FF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Metodologia:</w:t>
      </w:r>
      <w:r w:rsidRPr="00F75070">
        <w:rPr>
          <w:rFonts w:ascii="Arial" w:eastAsia="Arial" w:hAnsi="Arial" w:cs="Arial"/>
        </w:rPr>
        <w:t xml:space="preserve"> multiplicação dos preços unitários por quantidades estimadas; considerar variações por faixas de peso/CEP;</w:t>
      </w:r>
    </w:p>
    <w:p w14:paraId="0AE19B22" w14:textId="77777777" w:rsidR="005869FF" w:rsidRPr="00F75070" w:rsidRDefault="005869FF" w:rsidP="005869FF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Economia de escala:</w:t>
      </w:r>
      <w:r w:rsidRPr="00F75070">
        <w:rPr>
          <w:rFonts w:ascii="Arial" w:eastAsia="Arial" w:hAnsi="Arial" w:cs="Arial"/>
        </w:rPr>
        <w:t xml:space="preserve"> consolidar postagens e rotinas para reduzir custos acessórios;</w:t>
      </w:r>
    </w:p>
    <w:p w14:paraId="0C0923D2" w14:textId="77777777" w:rsidR="005869FF" w:rsidRPr="00F75070" w:rsidRDefault="005869FF" w:rsidP="005869FF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Resultado:</w:t>
      </w:r>
      <w:r w:rsidRPr="00F75070">
        <w:rPr>
          <w:rFonts w:ascii="Arial" w:eastAsia="Arial" w:hAnsi="Arial" w:cs="Arial"/>
        </w:rPr>
        <w:t xml:space="preserve"> custo global estimado para 60 meses: com detalhamento por modalidade em planilha anexa.</w:t>
      </w:r>
    </w:p>
    <w:p w14:paraId="55AFF92B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11. Justificativa para (Não) Parcelamento</w:t>
      </w:r>
    </w:p>
    <w:p w14:paraId="5AF6C435" w14:textId="77777777" w:rsidR="005869FF" w:rsidRPr="00F75070" w:rsidRDefault="005869FF" w:rsidP="005869FF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Parcelamento entre segmentos</w:t>
      </w:r>
      <w:r w:rsidRPr="00F75070">
        <w:rPr>
          <w:rFonts w:ascii="Arial" w:eastAsia="Arial" w:hAnsi="Arial" w:cs="Arial"/>
        </w:rPr>
        <w:t xml:space="preserve">: recomendado </w:t>
      </w:r>
      <w:r w:rsidRPr="00F75070">
        <w:rPr>
          <w:rFonts w:ascii="Arial" w:eastAsia="Arial" w:hAnsi="Arial" w:cs="Arial"/>
          <w:b/>
          <w:bCs/>
        </w:rPr>
        <w:t>segregar</w:t>
      </w:r>
      <w:r w:rsidRPr="00F75070">
        <w:rPr>
          <w:rFonts w:ascii="Arial" w:eastAsia="Arial" w:hAnsi="Arial" w:cs="Arial"/>
        </w:rPr>
        <w:t xml:space="preserve"> o que é </w:t>
      </w:r>
      <w:r w:rsidRPr="00F75070">
        <w:rPr>
          <w:rFonts w:ascii="Arial" w:eastAsia="Arial" w:hAnsi="Arial" w:cs="Arial"/>
          <w:b/>
          <w:bCs/>
        </w:rPr>
        <w:t>monopolizado (inexigível)</w:t>
      </w:r>
      <w:r w:rsidRPr="00F75070">
        <w:rPr>
          <w:rFonts w:ascii="Arial" w:eastAsia="Arial" w:hAnsi="Arial" w:cs="Arial"/>
        </w:rPr>
        <w:t xml:space="preserve"> do que é </w:t>
      </w:r>
      <w:r w:rsidRPr="00F75070">
        <w:rPr>
          <w:rFonts w:ascii="Arial" w:eastAsia="Arial" w:hAnsi="Arial" w:cs="Arial"/>
          <w:b/>
          <w:bCs/>
        </w:rPr>
        <w:t>concorrencial (licitável)</w:t>
      </w:r>
      <w:r w:rsidRPr="00F75070">
        <w:rPr>
          <w:rFonts w:ascii="Arial" w:eastAsia="Arial" w:hAnsi="Arial" w:cs="Arial"/>
        </w:rPr>
        <w:t>;</w:t>
      </w:r>
    </w:p>
    <w:p w14:paraId="47D1FA13" w14:textId="77777777" w:rsidR="005869FF" w:rsidRPr="00F75070" w:rsidRDefault="005869FF" w:rsidP="005869FF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Dentro do segmento monopolizado</w:t>
      </w:r>
      <w:r w:rsidRPr="00F75070">
        <w:rPr>
          <w:rFonts w:ascii="Arial" w:eastAsia="Arial" w:hAnsi="Arial" w:cs="Arial"/>
        </w:rPr>
        <w:t xml:space="preserve">, não há ganho com parcelamento por modalidade, pois as tarifas da ECT são padronizadas e a contratação é </w:t>
      </w:r>
      <w:r w:rsidRPr="00F75070">
        <w:rPr>
          <w:rFonts w:ascii="Arial" w:eastAsia="Arial" w:hAnsi="Arial" w:cs="Arial"/>
          <w:b/>
          <w:bCs/>
        </w:rPr>
        <w:t>sob demanda</w:t>
      </w:r>
      <w:r w:rsidRPr="00F75070">
        <w:rPr>
          <w:rFonts w:ascii="Arial" w:eastAsia="Arial" w:hAnsi="Arial" w:cs="Arial"/>
        </w:rPr>
        <w:t>.</w:t>
      </w:r>
    </w:p>
    <w:p w14:paraId="5D73760E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12. Contratações Correlatas/Interdependentes</w:t>
      </w:r>
    </w:p>
    <w:p w14:paraId="3184D80B" w14:textId="77777777" w:rsidR="005869FF" w:rsidRPr="00F75070" w:rsidRDefault="005869FF" w:rsidP="005869FF">
      <w:pPr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Eventual contrato de </w:t>
      </w:r>
      <w:r w:rsidRPr="00F75070">
        <w:rPr>
          <w:rFonts w:ascii="Arial" w:eastAsia="Arial" w:hAnsi="Arial" w:cs="Arial"/>
          <w:b/>
          <w:bCs/>
        </w:rPr>
        <w:t>mensageria local</w:t>
      </w:r>
      <w:r w:rsidRPr="00F75070">
        <w:rPr>
          <w:rFonts w:ascii="Arial" w:eastAsia="Arial" w:hAnsi="Arial" w:cs="Arial"/>
        </w:rPr>
        <w:t xml:space="preserve"> (moto/carro) para trâmites internos/locais;</w:t>
      </w:r>
    </w:p>
    <w:p w14:paraId="5060F97C" w14:textId="77777777" w:rsidR="005869FF" w:rsidRPr="00F75070" w:rsidRDefault="005869FF" w:rsidP="005869FF">
      <w:pPr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lastRenderedPageBreak/>
        <w:t xml:space="preserve">Serviços de </w:t>
      </w:r>
      <w:r w:rsidRPr="00F75070">
        <w:rPr>
          <w:rFonts w:ascii="Arial" w:eastAsia="Arial" w:hAnsi="Arial" w:cs="Arial"/>
          <w:b/>
          <w:bCs/>
        </w:rPr>
        <w:t>digitalização/gestão documental</w:t>
      </w:r>
      <w:r w:rsidRPr="00F75070">
        <w:rPr>
          <w:rFonts w:ascii="Arial" w:eastAsia="Arial" w:hAnsi="Arial" w:cs="Arial"/>
        </w:rPr>
        <w:t xml:space="preserve"> que possam reduzir volume físico;</w:t>
      </w:r>
    </w:p>
    <w:p w14:paraId="334FDB92" w14:textId="77777777" w:rsidR="005869FF" w:rsidRPr="00F75070" w:rsidRDefault="005869FF" w:rsidP="005869FF">
      <w:pPr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Licitação</w:t>
      </w:r>
      <w:r w:rsidRPr="00F75070">
        <w:rPr>
          <w:rFonts w:ascii="Arial" w:eastAsia="Arial" w:hAnsi="Arial" w:cs="Arial"/>
        </w:rPr>
        <w:t xml:space="preserve"> para encomendas/</w:t>
      </w:r>
      <w:proofErr w:type="spellStart"/>
      <w:r w:rsidRPr="00F75070">
        <w:rPr>
          <w:rFonts w:ascii="Arial" w:eastAsia="Arial" w:hAnsi="Arial" w:cs="Arial"/>
        </w:rPr>
        <w:t>express</w:t>
      </w:r>
      <w:proofErr w:type="spellEnd"/>
      <w:r w:rsidRPr="00F75070">
        <w:rPr>
          <w:rFonts w:ascii="Arial" w:eastAsia="Arial" w:hAnsi="Arial" w:cs="Arial"/>
        </w:rPr>
        <w:t>, se demandadas.</w:t>
      </w:r>
    </w:p>
    <w:p w14:paraId="19A73B7F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13. Resultados Pretendidos</w:t>
      </w:r>
    </w:p>
    <w:p w14:paraId="3FA2273E" w14:textId="77777777" w:rsidR="005869FF" w:rsidRPr="00F75070" w:rsidRDefault="005869FF" w:rsidP="005869FF">
      <w:pPr>
        <w:numPr>
          <w:ilvl w:val="0"/>
          <w:numId w:val="1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Disponibilidade</w:t>
      </w:r>
      <w:r w:rsidRPr="00F75070">
        <w:rPr>
          <w:rFonts w:ascii="Arial" w:eastAsia="Arial" w:hAnsi="Arial" w:cs="Arial"/>
        </w:rPr>
        <w:t xml:space="preserve"> contínua de serviços postais essenciais;</w:t>
      </w:r>
    </w:p>
    <w:p w14:paraId="4AC84087" w14:textId="77777777" w:rsidR="005869FF" w:rsidRPr="00F75070" w:rsidRDefault="005869FF" w:rsidP="005869FF">
      <w:pPr>
        <w:numPr>
          <w:ilvl w:val="0"/>
          <w:numId w:val="1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Confiabilidade e rastreabilidade</w:t>
      </w:r>
      <w:r w:rsidRPr="00F75070">
        <w:rPr>
          <w:rFonts w:ascii="Arial" w:eastAsia="Arial" w:hAnsi="Arial" w:cs="Arial"/>
        </w:rPr>
        <w:t xml:space="preserve"> (AR/relatórios);</w:t>
      </w:r>
    </w:p>
    <w:p w14:paraId="7F604E0F" w14:textId="77777777" w:rsidR="005869FF" w:rsidRPr="00F75070" w:rsidRDefault="005869FF" w:rsidP="005869FF">
      <w:pPr>
        <w:numPr>
          <w:ilvl w:val="0"/>
          <w:numId w:val="1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Conformidade jurídica</w:t>
      </w:r>
      <w:r w:rsidRPr="00F75070">
        <w:rPr>
          <w:rFonts w:ascii="Arial" w:eastAsia="Arial" w:hAnsi="Arial" w:cs="Arial"/>
        </w:rPr>
        <w:t xml:space="preserve"> e mitigação de riscos de questionamento;</w:t>
      </w:r>
    </w:p>
    <w:p w14:paraId="2C9F9F8B" w14:textId="77777777" w:rsidR="005869FF" w:rsidRPr="00F75070" w:rsidRDefault="005869FF" w:rsidP="005869FF">
      <w:pPr>
        <w:numPr>
          <w:ilvl w:val="0"/>
          <w:numId w:val="15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Economicidade</w:t>
      </w:r>
      <w:r w:rsidRPr="00F75070">
        <w:rPr>
          <w:rFonts w:ascii="Arial" w:eastAsia="Arial" w:hAnsi="Arial" w:cs="Arial"/>
        </w:rPr>
        <w:t>, com pagamento apenas pelo consumo e eventual racionalização de rotinas.</w:t>
      </w:r>
    </w:p>
    <w:p w14:paraId="02B86859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14. Providências Administrativas</w:t>
      </w:r>
    </w:p>
    <w:p w14:paraId="7787D16E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Conferir previsão no </w:t>
      </w:r>
      <w:r w:rsidRPr="00F75070">
        <w:rPr>
          <w:rFonts w:ascii="Arial" w:eastAsia="Arial" w:hAnsi="Arial" w:cs="Arial"/>
          <w:b/>
          <w:bCs/>
        </w:rPr>
        <w:t>PAC</w:t>
      </w:r>
      <w:r w:rsidRPr="00F75070">
        <w:rPr>
          <w:rFonts w:ascii="Arial" w:eastAsia="Arial" w:hAnsi="Arial" w:cs="Arial"/>
        </w:rPr>
        <w:t>;</w:t>
      </w:r>
    </w:p>
    <w:p w14:paraId="307A6485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Dotação orçamentária</w:t>
      </w:r>
      <w:r w:rsidRPr="00F75070">
        <w:rPr>
          <w:rFonts w:ascii="Arial" w:eastAsia="Arial" w:hAnsi="Arial" w:cs="Arial"/>
        </w:rPr>
        <w:t xml:space="preserve"> e estimativa de despesa;</w:t>
      </w:r>
    </w:p>
    <w:p w14:paraId="626F20F3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Elaboração do </w:t>
      </w:r>
      <w:r w:rsidRPr="00F75070">
        <w:rPr>
          <w:rFonts w:ascii="Arial" w:eastAsia="Arial" w:hAnsi="Arial" w:cs="Arial"/>
          <w:b/>
          <w:bCs/>
        </w:rPr>
        <w:t>Termo de Referência</w:t>
      </w:r>
      <w:r w:rsidRPr="00F75070">
        <w:rPr>
          <w:rFonts w:ascii="Arial" w:eastAsia="Arial" w:hAnsi="Arial" w:cs="Arial"/>
        </w:rPr>
        <w:t xml:space="preserve"> (inexigibilidade) e, em paralelo, </w:t>
      </w:r>
      <w:r w:rsidRPr="00F75070">
        <w:rPr>
          <w:rFonts w:ascii="Arial" w:eastAsia="Arial" w:hAnsi="Arial" w:cs="Arial"/>
          <w:b/>
          <w:bCs/>
        </w:rPr>
        <w:t>TR</w:t>
      </w:r>
      <w:r w:rsidRPr="00F75070">
        <w:rPr>
          <w:rFonts w:ascii="Arial" w:eastAsia="Arial" w:hAnsi="Arial" w:cs="Arial"/>
        </w:rPr>
        <w:t xml:space="preserve"> para eventual licitação de modalidades não exclusivas;</w:t>
      </w:r>
    </w:p>
    <w:p w14:paraId="5C4FF3ED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Parecer jurídico</w:t>
      </w:r>
      <w:r w:rsidRPr="00F75070">
        <w:rPr>
          <w:rFonts w:ascii="Arial" w:eastAsia="Arial" w:hAnsi="Arial" w:cs="Arial"/>
        </w:rPr>
        <w:t>;</w:t>
      </w:r>
    </w:p>
    <w:p w14:paraId="024DA949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Registro e </w:t>
      </w:r>
      <w:r w:rsidRPr="00F75070">
        <w:rPr>
          <w:rFonts w:ascii="Arial" w:eastAsia="Arial" w:hAnsi="Arial" w:cs="Arial"/>
          <w:b/>
          <w:bCs/>
        </w:rPr>
        <w:t>publicação no PNCP</w:t>
      </w:r>
      <w:r w:rsidRPr="00F75070">
        <w:rPr>
          <w:rFonts w:ascii="Arial" w:eastAsia="Arial" w:hAnsi="Arial" w:cs="Arial"/>
        </w:rPr>
        <w:t xml:space="preserve"> (nos termos aplicáveis);</w:t>
      </w:r>
    </w:p>
    <w:p w14:paraId="7864155B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Designação de </w:t>
      </w:r>
      <w:r w:rsidRPr="00F75070">
        <w:rPr>
          <w:rFonts w:ascii="Arial" w:eastAsia="Arial" w:hAnsi="Arial" w:cs="Arial"/>
          <w:b/>
          <w:bCs/>
        </w:rPr>
        <w:t>gestor e fiscal</w:t>
      </w:r>
      <w:r w:rsidRPr="00F75070">
        <w:rPr>
          <w:rFonts w:ascii="Arial" w:eastAsia="Arial" w:hAnsi="Arial" w:cs="Arial"/>
        </w:rPr>
        <w:t>;</w:t>
      </w:r>
    </w:p>
    <w:p w14:paraId="32943AF9" w14:textId="77777777" w:rsidR="005869FF" w:rsidRPr="00F75070" w:rsidRDefault="005869FF" w:rsidP="005869FF">
      <w:pPr>
        <w:numPr>
          <w:ilvl w:val="0"/>
          <w:numId w:val="16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Plano de </w:t>
      </w:r>
      <w:r w:rsidRPr="00F75070">
        <w:rPr>
          <w:rFonts w:ascii="Arial" w:eastAsia="Arial" w:hAnsi="Arial" w:cs="Arial"/>
          <w:b/>
          <w:bCs/>
        </w:rPr>
        <w:t>comunicação interna</w:t>
      </w:r>
      <w:r w:rsidRPr="00F75070">
        <w:rPr>
          <w:rFonts w:ascii="Arial" w:eastAsia="Arial" w:hAnsi="Arial" w:cs="Arial"/>
        </w:rPr>
        <w:t xml:space="preserve"> (treinamento de usuários, manuais de postagem e checklists).</w:t>
      </w:r>
    </w:p>
    <w:p w14:paraId="7BA7370C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15. Possíveis Impactos Ambientais e Medidas</w:t>
      </w:r>
    </w:p>
    <w:p w14:paraId="58F7CA55" w14:textId="77777777" w:rsidR="005869FF" w:rsidRPr="00F75070" w:rsidRDefault="005869FF" w:rsidP="005869FF">
      <w:pPr>
        <w:numPr>
          <w:ilvl w:val="0"/>
          <w:numId w:val="1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Incentivar </w:t>
      </w:r>
      <w:r w:rsidRPr="00F75070">
        <w:rPr>
          <w:rFonts w:ascii="Arial" w:eastAsia="Arial" w:hAnsi="Arial" w:cs="Arial"/>
          <w:b/>
          <w:bCs/>
        </w:rPr>
        <w:t>postagem consolidada</w:t>
      </w:r>
      <w:r w:rsidRPr="00F75070">
        <w:rPr>
          <w:rFonts w:ascii="Arial" w:eastAsia="Arial" w:hAnsi="Arial" w:cs="Arial"/>
        </w:rPr>
        <w:t xml:space="preserve"> e uso de </w:t>
      </w:r>
      <w:r w:rsidRPr="00F75070">
        <w:rPr>
          <w:rFonts w:ascii="Arial" w:eastAsia="Arial" w:hAnsi="Arial" w:cs="Arial"/>
          <w:b/>
          <w:bCs/>
        </w:rPr>
        <w:t>embalagens recicláveis</w:t>
      </w:r>
      <w:r w:rsidRPr="00F75070">
        <w:rPr>
          <w:rFonts w:ascii="Arial" w:eastAsia="Arial" w:hAnsi="Arial" w:cs="Arial"/>
        </w:rPr>
        <w:t>;</w:t>
      </w:r>
    </w:p>
    <w:p w14:paraId="351A0C33" w14:textId="77777777" w:rsidR="005869FF" w:rsidRPr="00F75070" w:rsidRDefault="005869FF" w:rsidP="005869FF">
      <w:pPr>
        <w:numPr>
          <w:ilvl w:val="0"/>
          <w:numId w:val="1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 xml:space="preserve">Priorizar comunicações </w:t>
      </w:r>
      <w:r w:rsidRPr="00F75070">
        <w:rPr>
          <w:rFonts w:ascii="Arial" w:eastAsia="Arial" w:hAnsi="Arial" w:cs="Arial"/>
          <w:b/>
          <w:bCs/>
        </w:rPr>
        <w:t>digitais</w:t>
      </w:r>
      <w:r w:rsidRPr="00F75070">
        <w:rPr>
          <w:rFonts w:ascii="Arial" w:eastAsia="Arial" w:hAnsi="Arial" w:cs="Arial"/>
        </w:rPr>
        <w:t xml:space="preserve"> quando juridicamente possível;</w:t>
      </w:r>
    </w:p>
    <w:p w14:paraId="4352DAE4" w14:textId="77777777" w:rsidR="005869FF" w:rsidRPr="00F75070" w:rsidRDefault="005869FF" w:rsidP="005869FF">
      <w:pPr>
        <w:numPr>
          <w:ilvl w:val="0"/>
          <w:numId w:val="17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</w:rPr>
        <w:t>Prever logística reversa de insumos (quando aplicável).</w:t>
      </w:r>
    </w:p>
    <w:p w14:paraId="5CA438EA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75070">
        <w:rPr>
          <w:rFonts w:ascii="Arial" w:eastAsia="Arial" w:hAnsi="Arial" w:cs="Arial"/>
          <w:b/>
          <w:bCs/>
        </w:rPr>
        <w:t>16. Principais Riscos e Medidas de Tratamento</w:t>
      </w:r>
    </w:p>
    <w:p w14:paraId="23284BEA" w14:textId="77777777" w:rsidR="005869FF" w:rsidRPr="00F75070" w:rsidRDefault="005869FF" w:rsidP="005869FF">
      <w:pPr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Risco jurídico:</w:t>
      </w:r>
      <w:r w:rsidRPr="00F75070">
        <w:rPr>
          <w:rFonts w:ascii="Arial" w:eastAsia="Arial" w:hAnsi="Arial" w:cs="Arial"/>
        </w:rPr>
        <w:t xml:space="preserve"> inclusão de modalidades </w:t>
      </w:r>
      <w:r w:rsidRPr="00F75070">
        <w:rPr>
          <w:rFonts w:ascii="Arial" w:eastAsia="Arial" w:hAnsi="Arial" w:cs="Arial"/>
          <w:b/>
          <w:bCs/>
        </w:rPr>
        <w:t>não monopolizadas</w:t>
      </w:r>
      <w:r w:rsidRPr="00F75070">
        <w:rPr>
          <w:rFonts w:ascii="Arial" w:eastAsia="Arial" w:hAnsi="Arial" w:cs="Arial"/>
        </w:rPr>
        <w:t xml:space="preserve"> na inexigibilidade → </w:t>
      </w:r>
      <w:r w:rsidRPr="00F75070">
        <w:rPr>
          <w:rFonts w:ascii="Arial" w:eastAsia="Arial" w:hAnsi="Arial" w:cs="Arial"/>
          <w:b/>
          <w:bCs/>
        </w:rPr>
        <w:t>Mitigação:</w:t>
      </w:r>
      <w:r w:rsidRPr="00F75070">
        <w:rPr>
          <w:rFonts w:ascii="Arial" w:eastAsia="Arial" w:hAnsi="Arial" w:cs="Arial"/>
        </w:rPr>
        <w:t xml:space="preserve"> delimitar escopo; se necessário, </w:t>
      </w:r>
      <w:r w:rsidRPr="00F75070">
        <w:rPr>
          <w:rFonts w:ascii="Arial" w:eastAsia="Arial" w:hAnsi="Arial" w:cs="Arial"/>
          <w:b/>
          <w:bCs/>
        </w:rPr>
        <w:t>licitar</w:t>
      </w:r>
      <w:r w:rsidRPr="00F75070">
        <w:rPr>
          <w:rFonts w:ascii="Arial" w:eastAsia="Arial" w:hAnsi="Arial" w:cs="Arial"/>
        </w:rPr>
        <w:t xml:space="preserve"> essas modalidades.</w:t>
      </w:r>
    </w:p>
    <w:p w14:paraId="5BF520DB" w14:textId="77777777" w:rsidR="005869FF" w:rsidRPr="00F75070" w:rsidRDefault="005869FF" w:rsidP="005869FF">
      <w:pPr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Risco de estimativa insuficiente:</w:t>
      </w:r>
      <w:r w:rsidRPr="00F75070">
        <w:rPr>
          <w:rFonts w:ascii="Arial" w:eastAsia="Arial" w:hAnsi="Arial" w:cs="Arial"/>
        </w:rPr>
        <w:t xml:space="preserve"> variação da demanda → </w:t>
      </w:r>
      <w:r w:rsidRPr="00F75070">
        <w:rPr>
          <w:rFonts w:ascii="Arial" w:eastAsia="Arial" w:hAnsi="Arial" w:cs="Arial"/>
          <w:b/>
          <w:bCs/>
        </w:rPr>
        <w:t>Mitigação:</w:t>
      </w:r>
      <w:r w:rsidRPr="00F75070">
        <w:rPr>
          <w:rFonts w:ascii="Arial" w:eastAsia="Arial" w:hAnsi="Arial" w:cs="Arial"/>
        </w:rPr>
        <w:t xml:space="preserve"> contrato sob demanda, revisão anual das projeções e do consumo.</w:t>
      </w:r>
    </w:p>
    <w:p w14:paraId="65FA4B05" w14:textId="77777777" w:rsidR="005869FF" w:rsidRPr="00F75070" w:rsidRDefault="005869FF" w:rsidP="005869FF">
      <w:pPr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Risco de sobrepreço:</w:t>
      </w:r>
      <w:r w:rsidRPr="00F75070">
        <w:rPr>
          <w:rFonts w:ascii="Arial" w:eastAsia="Arial" w:hAnsi="Arial" w:cs="Arial"/>
        </w:rPr>
        <w:t xml:space="preserve"> tarifas desatualizadas ou base de cálculo inadequada → </w:t>
      </w:r>
      <w:r w:rsidRPr="00F75070">
        <w:rPr>
          <w:rFonts w:ascii="Arial" w:eastAsia="Arial" w:hAnsi="Arial" w:cs="Arial"/>
          <w:b/>
          <w:bCs/>
        </w:rPr>
        <w:t>Mitigação:</w:t>
      </w:r>
      <w:r w:rsidRPr="00F75070">
        <w:rPr>
          <w:rFonts w:ascii="Arial" w:eastAsia="Arial" w:hAnsi="Arial" w:cs="Arial"/>
        </w:rPr>
        <w:t xml:space="preserve"> utilizar </w:t>
      </w:r>
      <w:r w:rsidRPr="00F75070">
        <w:rPr>
          <w:rFonts w:ascii="Arial" w:eastAsia="Arial" w:hAnsi="Arial" w:cs="Arial"/>
          <w:b/>
          <w:bCs/>
        </w:rPr>
        <w:t>tabelas vigentes</w:t>
      </w:r>
      <w:r w:rsidRPr="00F75070">
        <w:rPr>
          <w:rFonts w:ascii="Arial" w:eastAsia="Arial" w:hAnsi="Arial" w:cs="Arial"/>
        </w:rPr>
        <w:t xml:space="preserve"> e </w:t>
      </w:r>
      <w:r w:rsidRPr="00F75070">
        <w:rPr>
          <w:rFonts w:ascii="Arial" w:eastAsia="Arial" w:hAnsi="Arial" w:cs="Arial"/>
          <w:b/>
          <w:bCs/>
        </w:rPr>
        <w:t>notas fiscais</w:t>
      </w:r>
      <w:r w:rsidRPr="00F75070">
        <w:rPr>
          <w:rFonts w:ascii="Arial" w:eastAsia="Arial" w:hAnsi="Arial" w:cs="Arial"/>
        </w:rPr>
        <w:t xml:space="preserve"> de até 12 meses de outros entes como comparativo; validar memória de cálculo.</w:t>
      </w:r>
    </w:p>
    <w:p w14:paraId="4E1CFA5F" w14:textId="77777777" w:rsidR="005869FF" w:rsidRPr="00F75070" w:rsidRDefault="005869FF" w:rsidP="005869FF">
      <w:pPr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t>Risco operacional:</w:t>
      </w:r>
      <w:r w:rsidRPr="00F75070">
        <w:rPr>
          <w:rFonts w:ascii="Arial" w:eastAsia="Arial" w:hAnsi="Arial" w:cs="Arial"/>
        </w:rPr>
        <w:t xml:space="preserve"> atrasos/extravios → </w:t>
      </w:r>
      <w:r w:rsidRPr="00F75070">
        <w:rPr>
          <w:rFonts w:ascii="Arial" w:eastAsia="Arial" w:hAnsi="Arial" w:cs="Arial"/>
          <w:b/>
          <w:bCs/>
        </w:rPr>
        <w:t>Mitigação:</w:t>
      </w:r>
      <w:r w:rsidRPr="00F75070">
        <w:rPr>
          <w:rFonts w:ascii="Arial" w:eastAsia="Arial" w:hAnsi="Arial" w:cs="Arial"/>
        </w:rPr>
        <w:t xml:space="preserve"> </w:t>
      </w:r>
      <w:proofErr w:type="spellStart"/>
      <w:r w:rsidRPr="00F75070">
        <w:rPr>
          <w:rFonts w:ascii="Arial" w:eastAsia="Arial" w:hAnsi="Arial" w:cs="Arial"/>
        </w:rPr>
        <w:t>SLAs</w:t>
      </w:r>
      <w:proofErr w:type="spellEnd"/>
      <w:r w:rsidRPr="00F75070">
        <w:rPr>
          <w:rFonts w:ascii="Arial" w:eastAsia="Arial" w:hAnsi="Arial" w:cs="Arial"/>
        </w:rPr>
        <w:t>, procedimentos de protocolo e tratativas de ocorrências com a ECT; auditoria interna por amostragem.</w:t>
      </w:r>
    </w:p>
    <w:p w14:paraId="48BDFC82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</w:p>
    <w:p w14:paraId="3B8CD394" w14:textId="77777777" w:rsidR="005869FF" w:rsidRPr="00F75070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  <w:r w:rsidRPr="00F75070">
        <w:rPr>
          <w:rFonts w:ascii="Arial" w:eastAsia="Arial" w:hAnsi="Arial" w:cs="Arial"/>
          <w:b/>
          <w:bCs/>
        </w:rPr>
        <w:lastRenderedPageBreak/>
        <w:t>Observação final:</w:t>
      </w:r>
      <w:r w:rsidRPr="00F75070">
        <w:rPr>
          <w:rFonts w:ascii="Arial" w:eastAsia="Arial" w:hAnsi="Arial" w:cs="Arial"/>
        </w:rPr>
        <w:t xml:space="preserve"> Este ETP baliza a instrução da </w:t>
      </w:r>
      <w:r w:rsidRPr="00F75070">
        <w:rPr>
          <w:rFonts w:ascii="Arial" w:eastAsia="Arial" w:hAnsi="Arial" w:cs="Arial"/>
          <w:b/>
          <w:bCs/>
        </w:rPr>
        <w:t>Inexigibilidade nº 03/2025</w:t>
      </w:r>
      <w:r w:rsidRPr="00F75070">
        <w:rPr>
          <w:rFonts w:ascii="Arial" w:eastAsia="Arial" w:hAnsi="Arial" w:cs="Arial"/>
        </w:rPr>
        <w:t xml:space="preserve"> (Proc. 06/2025) e servirá de insumo para o Termo de Referência e a justificativa de preço, além de orientar a contratação separada – por licitação – de eventuais modalidades </w:t>
      </w:r>
      <w:r w:rsidRPr="00F75070">
        <w:rPr>
          <w:rFonts w:ascii="Arial" w:eastAsia="Arial" w:hAnsi="Arial" w:cs="Arial"/>
          <w:b/>
          <w:bCs/>
        </w:rPr>
        <w:t>não monopolizadas</w:t>
      </w:r>
      <w:r w:rsidRPr="00F75070">
        <w:rPr>
          <w:rFonts w:ascii="Arial" w:eastAsia="Arial" w:hAnsi="Arial" w:cs="Arial"/>
        </w:rPr>
        <w:t>.</w:t>
      </w:r>
    </w:p>
    <w:p w14:paraId="249DB221" w14:textId="77777777" w:rsidR="005869FF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</w:p>
    <w:p w14:paraId="50C75BE7" w14:textId="77777777" w:rsidR="005869FF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</w:p>
    <w:p w14:paraId="0B1D8470" w14:textId="77777777" w:rsidR="005869FF" w:rsidRDefault="005869FF" w:rsidP="005869FF">
      <w:pPr>
        <w:spacing w:after="0" w:line="360" w:lineRule="auto"/>
        <w:jc w:val="both"/>
        <w:rPr>
          <w:rFonts w:ascii="Arial" w:eastAsia="Arial" w:hAnsi="Arial" w:cs="Arial"/>
        </w:rPr>
      </w:pPr>
    </w:p>
    <w:p w14:paraId="066E7629" w14:textId="77777777" w:rsidR="005869FF" w:rsidRDefault="005869FF" w:rsidP="005869FF">
      <w:pPr>
        <w:spacing w:after="0" w:line="240" w:lineRule="auto"/>
        <w:jc w:val="center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Rosimeire das Mercês Costa</w:t>
      </w:r>
      <w:r w:rsidRPr="0092159A">
        <w:rPr>
          <w:rFonts w:ascii="Arial" w:eastAsia="Arial" w:hAnsi="Arial" w:cs="Arial"/>
          <w:bCs/>
          <w:color w:val="000000"/>
        </w:rPr>
        <w:t xml:space="preserve"> </w:t>
      </w:r>
    </w:p>
    <w:p w14:paraId="56B7C295" w14:textId="77777777" w:rsidR="005869FF" w:rsidRDefault="005869FF" w:rsidP="005869FF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Presidente da Câmara Municipal de Mercês</w:t>
      </w:r>
    </w:p>
    <w:p w14:paraId="62B0B71A" w14:textId="77777777" w:rsidR="005869FF" w:rsidRDefault="005869FF" w:rsidP="005869FF">
      <w:pPr>
        <w:rPr>
          <w:sz w:val="24"/>
          <w:szCs w:val="24"/>
        </w:rPr>
      </w:pPr>
    </w:p>
    <w:p w14:paraId="7020AC5D" w14:textId="77777777" w:rsidR="00FE451D" w:rsidRDefault="00FE451D"/>
    <w:sectPr w:rsidR="00FE45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E2BD" w14:textId="77777777" w:rsidR="00C2248C" w:rsidRDefault="00C2248C" w:rsidP="00FE451D">
      <w:pPr>
        <w:spacing w:after="0" w:line="240" w:lineRule="auto"/>
      </w:pPr>
      <w:r>
        <w:separator/>
      </w:r>
    </w:p>
  </w:endnote>
  <w:endnote w:type="continuationSeparator" w:id="0">
    <w:p w14:paraId="5608CD95" w14:textId="77777777" w:rsidR="00C2248C" w:rsidRDefault="00C2248C" w:rsidP="00FE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3FC" w14:textId="53AF2551" w:rsidR="00FE451D" w:rsidRPr="006D74E2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>Rua São José nº 250 – Bairro Caxangá - CEP: 36.190.000- Mercês-MG</w:t>
    </w:r>
  </w:p>
  <w:p w14:paraId="070B32F9" w14:textId="77777777" w:rsidR="00FE451D" w:rsidRPr="00432A3B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 xml:space="preserve">TELEFAX: (32- 3337-1567) Site: </w:t>
    </w:r>
    <w:hyperlink r:id="rId1" w:history="1">
      <w:r w:rsidRPr="006D74E2">
        <w:rPr>
          <w:rStyle w:val="Hyperlink"/>
          <w:rFonts w:asciiTheme="minorHAnsi" w:hAnsiTheme="minorHAnsi" w:cstheme="minorHAnsi"/>
          <w:b/>
          <w:sz w:val="18"/>
          <w:szCs w:val="18"/>
        </w:rPr>
        <w:t>www.camaramerces.mg.gov.br</w:t>
      </w:r>
    </w:hyperlink>
    <w:r w:rsidRPr="006D74E2">
      <w:rPr>
        <w:rFonts w:asciiTheme="minorHAnsi" w:hAnsiTheme="minorHAnsi" w:cstheme="minorHAnsi"/>
        <w:i/>
        <w:iCs/>
        <w:sz w:val="18"/>
        <w:szCs w:val="18"/>
      </w:rPr>
      <w:t xml:space="preserve"> e-mail: camara@camaramerces.mg.gov.br</w:t>
    </w:r>
  </w:p>
  <w:p w14:paraId="0A09B6EE" w14:textId="77777777" w:rsidR="00FE451D" w:rsidRDefault="00FE45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530E" w14:textId="77777777" w:rsidR="00C2248C" w:rsidRDefault="00C2248C" w:rsidP="00FE451D">
      <w:pPr>
        <w:spacing w:after="0" w:line="240" w:lineRule="auto"/>
      </w:pPr>
      <w:r>
        <w:separator/>
      </w:r>
    </w:p>
  </w:footnote>
  <w:footnote w:type="continuationSeparator" w:id="0">
    <w:p w14:paraId="45BCAAF9" w14:textId="77777777" w:rsidR="00C2248C" w:rsidRDefault="00C2248C" w:rsidP="00FE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D0C" w14:textId="3CE07461" w:rsidR="00FE451D" w:rsidRDefault="00FE451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D7519" wp14:editId="6AD21F60">
          <wp:simplePos x="0" y="0"/>
          <wp:positionH relativeFrom="margin">
            <wp:posOffset>609600</wp:posOffset>
          </wp:positionH>
          <wp:positionV relativeFrom="paragraph">
            <wp:posOffset>-334010</wp:posOffset>
          </wp:positionV>
          <wp:extent cx="3981450" cy="774700"/>
          <wp:effectExtent l="0" t="0" r="0" b="6350"/>
          <wp:wrapTopAndBottom/>
          <wp:docPr id="618040518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2939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DE"/>
    <w:multiLevelType w:val="multilevel"/>
    <w:tmpl w:val="E152A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64D8"/>
    <w:multiLevelType w:val="multilevel"/>
    <w:tmpl w:val="0AD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F33C6"/>
    <w:multiLevelType w:val="multilevel"/>
    <w:tmpl w:val="EA74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315FD"/>
    <w:multiLevelType w:val="multilevel"/>
    <w:tmpl w:val="A16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33531"/>
    <w:multiLevelType w:val="multilevel"/>
    <w:tmpl w:val="9A3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E3669"/>
    <w:multiLevelType w:val="multilevel"/>
    <w:tmpl w:val="4A6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47E45"/>
    <w:multiLevelType w:val="multilevel"/>
    <w:tmpl w:val="D31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93AAC"/>
    <w:multiLevelType w:val="multilevel"/>
    <w:tmpl w:val="504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85380"/>
    <w:multiLevelType w:val="multilevel"/>
    <w:tmpl w:val="2D3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870FA"/>
    <w:multiLevelType w:val="multilevel"/>
    <w:tmpl w:val="EA2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F662B"/>
    <w:multiLevelType w:val="multilevel"/>
    <w:tmpl w:val="AEB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5239D"/>
    <w:multiLevelType w:val="multilevel"/>
    <w:tmpl w:val="DEF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0B33"/>
    <w:multiLevelType w:val="multilevel"/>
    <w:tmpl w:val="B0A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772E9"/>
    <w:multiLevelType w:val="multilevel"/>
    <w:tmpl w:val="33A0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C17EC"/>
    <w:multiLevelType w:val="multilevel"/>
    <w:tmpl w:val="CDB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4634D"/>
    <w:multiLevelType w:val="multilevel"/>
    <w:tmpl w:val="7B8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32AB0"/>
    <w:multiLevelType w:val="multilevel"/>
    <w:tmpl w:val="CD0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C3B1D"/>
    <w:multiLevelType w:val="multilevel"/>
    <w:tmpl w:val="1D5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876814">
    <w:abstractNumId w:val="0"/>
  </w:num>
  <w:num w:numId="2" w16cid:durableId="684669805">
    <w:abstractNumId w:val="17"/>
  </w:num>
  <w:num w:numId="3" w16cid:durableId="1231117597">
    <w:abstractNumId w:val="9"/>
  </w:num>
  <w:num w:numId="4" w16cid:durableId="2005861929">
    <w:abstractNumId w:val="15"/>
  </w:num>
  <w:num w:numId="5" w16cid:durableId="1468933062">
    <w:abstractNumId w:val="16"/>
  </w:num>
  <w:num w:numId="6" w16cid:durableId="314382555">
    <w:abstractNumId w:val="3"/>
  </w:num>
  <w:num w:numId="7" w16cid:durableId="604266877">
    <w:abstractNumId w:val="8"/>
  </w:num>
  <w:num w:numId="8" w16cid:durableId="1284001100">
    <w:abstractNumId w:val="4"/>
  </w:num>
  <w:num w:numId="9" w16cid:durableId="296376762">
    <w:abstractNumId w:val="2"/>
  </w:num>
  <w:num w:numId="10" w16cid:durableId="915628964">
    <w:abstractNumId w:val="5"/>
  </w:num>
  <w:num w:numId="11" w16cid:durableId="1187519958">
    <w:abstractNumId w:val="11"/>
  </w:num>
  <w:num w:numId="12" w16cid:durableId="826943233">
    <w:abstractNumId w:val="12"/>
  </w:num>
  <w:num w:numId="13" w16cid:durableId="2023044459">
    <w:abstractNumId w:val="14"/>
  </w:num>
  <w:num w:numId="14" w16cid:durableId="3635998">
    <w:abstractNumId w:val="1"/>
  </w:num>
  <w:num w:numId="15" w16cid:durableId="1062679553">
    <w:abstractNumId w:val="13"/>
  </w:num>
  <w:num w:numId="16" w16cid:durableId="320086146">
    <w:abstractNumId w:val="6"/>
  </w:num>
  <w:num w:numId="17" w16cid:durableId="1264725690">
    <w:abstractNumId w:val="7"/>
  </w:num>
  <w:num w:numId="18" w16cid:durableId="1028024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D"/>
    <w:rsid w:val="00476DD0"/>
    <w:rsid w:val="005869FF"/>
    <w:rsid w:val="00BD2F82"/>
    <w:rsid w:val="00C2248C"/>
    <w:rsid w:val="00C96F5F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C063"/>
  <w15:chartTrackingRefBased/>
  <w15:docId w15:val="{C642D02A-4F74-482F-8B9B-B158BB4F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1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5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5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5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51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51D"/>
  </w:style>
  <w:style w:type="paragraph" w:styleId="Rodap">
    <w:name w:val="footer"/>
    <w:basedOn w:val="Normal"/>
    <w:link w:val="Rodap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51D"/>
  </w:style>
  <w:style w:type="character" w:styleId="Hyperlink">
    <w:name w:val="Hyperlink"/>
    <w:basedOn w:val="Fontepargpadro"/>
    <w:uiPriority w:val="99"/>
    <w:unhideWhenUsed/>
    <w:rsid w:val="00FE451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E451D"/>
    <w:pPr>
      <w:widowControl w:val="0"/>
      <w:autoSpaceDE w:val="0"/>
      <w:autoSpaceDN w:val="0"/>
      <w:spacing w:after="0" w:line="240" w:lineRule="auto"/>
      <w:ind w:left="71"/>
      <w:jc w:val="center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erces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Magalhaes</dc:creator>
  <cp:keywords/>
  <dc:description/>
  <cp:lastModifiedBy>Wanessa Magalhaes</cp:lastModifiedBy>
  <cp:revision>2</cp:revision>
  <dcterms:created xsi:type="dcterms:W3CDTF">2025-12-12T11:17:00Z</dcterms:created>
  <dcterms:modified xsi:type="dcterms:W3CDTF">2025-12-12T11:17:00Z</dcterms:modified>
</cp:coreProperties>
</file>